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0DB1"/>
    <w:p w14:paraId="0D6616FF">
      <w:pPr>
        <w:bidi w:val="0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本文档适用于紫光四算的审批流程修改。</w:t>
      </w:r>
    </w:p>
    <w:p w14:paraId="3F5F42D7">
      <w:pPr>
        <w:bidi w:val="0"/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审批流程修改步骤为：先画流程图（对审批节点进行按需编辑），然后将画好的流程进行部署（部署后重新发起的审批流程将按新流程进行审批），最后为流程图里的每个审批节点配置对应的审批人。</w:t>
      </w:r>
    </w:p>
    <w:p w14:paraId="0AB4F33B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画流程图</w:t>
      </w:r>
    </w:p>
    <w:p w14:paraId="6775DADD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1.1.进入流程图编辑页面</w:t>
      </w:r>
    </w:p>
    <w:p w14:paraId="3B13548D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点击【基础功能（或系统管理）-工作流程-模型管理】菜单，进入审批流程图模型管理页面，选择要修改的流程然后点击对应的【流程设计】按钮，进入流程图编辑页面。</w:t>
      </w:r>
    </w:p>
    <w:p w14:paraId="599D0007">
      <w:pPr>
        <w:ind w:firstLine="420" w:firstLineChars="0"/>
        <w:rPr>
          <w:rFonts w:hint="default"/>
          <w:lang w:val="en-US" w:eastAsia="zh-CN"/>
        </w:rPr>
      </w:pPr>
    </w:p>
    <w:p w14:paraId="544F33B3">
      <w:r>
        <w:drawing>
          <wp:inline distT="0" distB="0" distL="114300" distR="114300">
            <wp:extent cx="5264150" cy="1559560"/>
            <wp:effectExtent l="0" t="0" r="6350" b="25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9790">
      <w:pPr>
        <w:rPr>
          <w:rFonts w:hint="default"/>
          <w:lang w:val="en-US" w:eastAsia="zh-CN"/>
        </w:rPr>
      </w:pPr>
    </w:p>
    <w:p w14:paraId="39BFA91E">
      <w:pPr>
        <w:rPr>
          <w:rFonts w:hint="default"/>
          <w:lang w:val="en-US" w:eastAsia="zh-CN"/>
        </w:rPr>
      </w:pPr>
    </w:p>
    <w:p w14:paraId="34FEF67F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1.2. 节点介绍</w:t>
      </w:r>
    </w:p>
    <w:p w14:paraId="2B715B7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流程图中元素含义如下图所示，</w:t>
      </w:r>
    </w:p>
    <w:p w14:paraId="2FDCB47A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73040" cy="2491740"/>
            <wp:effectExtent l="0" t="0" r="10160" b="10160"/>
            <wp:docPr id="6" name="图片 6" descr="1718328215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83282152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8445B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开始节点：表示流程开始，有且仅有一个。</w:t>
      </w:r>
    </w:p>
    <w:p w14:paraId="594A1142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发起节点：开始节点后紧跟的第一个节点，表示申请人发起流程审批。</w:t>
      </w:r>
    </w:p>
    <w:p w14:paraId="41B1ACAC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结束节点：表示流程结束，有且仅有一个。</w:t>
      </w:r>
    </w:p>
    <w:p w14:paraId="5F67325F"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连接箭头：表示节点间的连接顺序。</w:t>
      </w:r>
    </w:p>
    <w:p w14:paraId="5EA91BD0"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网关节点：表示流程分支，需要为每个分支配置跳转条件。</w:t>
      </w:r>
    </w:p>
    <w:p w14:paraId="4C4913B3">
      <w:pPr>
        <w:rPr>
          <w:rFonts w:hint="eastAsia" w:eastAsiaTheme="minorEastAsia"/>
          <w:lang w:val="en-US" w:eastAsia="zh-CN"/>
        </w:rPr>
      </w:pPr>
    </w:p>
    <w:p w14:paraId="28DD88ED">
      <w:pPr>
        <w:numPr>
          <w:ilvl w:val="0"/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上面元素中【开始节点、发起节点、结束节点】这三个节点不能修改。审批节点、网关节点、连接箭头可按需修改。</w:t>
      </w:r>
    </w:p>
    <w:p w14:paraId="0FDA5AA0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点击某个审批节点后，节点周围会出现几个按钮，如下图所示，点击按钮可完成对应操作，双击某个审批节点可以修改节点名称。</w:t>
      </w:r>
    </w:p>
    <w:p w14:paraId="747C6ED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556F0B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675" cy="2124710"/>
            <wp:effectExtent l="0" t="0" r="952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9F741">
      <w:pPr>
        <w:rPr>
          <w:rFonts w:hint="eastAsia" w:eastAsiaTheme="minorEastAsia"/>
          <w:lang w:val="en-US" w:eastAsia="zh-CN"/>
        </w:rPr>
      </w:pPr>
    </w:p>
    <w:p w14:paraId="716BC2AD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1.3. 删除节点</w:t>
      </w:r>
    </w:p>
    <w:p w14:paraId="4026FCD2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例如想删除节点1，先点击节点1，左下角会出现一个删除按钮，点击删除按钮即可删除。Ctrl+Z 快捷键可以撤销上一次操作。</w:t>
      </w:r>
    </w:p>
    <w:p w14:paraId="72CD6BE9">
      <w:pPr>
        <w:ind w:firstLine="420" w:firstLineChars="0"/>
      </w:pPr>
    </w:p>
    <w:p w14:paraId="03A0016B">
      <w:pPr>
        <w:ind w:firstLine="420" w:firstLineChars="0"/>
      </w:pPr>
      <w:r>
        <w:drawing>
          <wp:inline distT="0" distB="0" distL="114300" distR="114300">
            <wp:extent cx="3810000" cy="1905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95D0B">
      <w:pPr>
        <w:rPr>
          <w:rFonts w:hint="eastAsia"/>
          <w:lang w:val="en-US" w:eastAsia="zh-CN"/>
        </w:rPr>
      </w:pPr>
    </w:p>
    <w:p w14:paraId="5F1F43EE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1.4. 新增审批节点</w:t>
      </w:r>
    </w:p>
    <w:p w14:paraId="22571C97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例如想在节点1后面增加一个审批节点，先点击节点1，然后点击如图所示的头像按钮新增一个审批节点，最后双击新节点设置名称。</w:t>
      </w:r>
    </w:p>
    <w:p w14:paraId="5A825689">
      <w:r>
        <w:drawing>
          <wp:inline distT="0" distB="0" distL="114300" distR="114300">
            <wp:extent cx="4540250" cy="1619250"/>
            <wp:effectExtent l="0" t="0" r="6350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AF788">
      <w:r>
        <w:drawing>
          <wp:inline distT="0" distB="0" distL="114300" distR="114300">
            <wp:extent cx="5016500" cy="1606550"/>
            <wp:effectExtent l="0" t="0" r="0" b="635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18C32"/>
    <w:p w14:paraId="58BC22C4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1.5. 连接箭头画法</w:t>
      </w:r>
    </w:p>
    <w:p w14:paraId="7D6339F5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鼠标点击某个节点右侧的箭头按钮不放开，然后拖动到箭头指向的节点。</w:t>
      </w:r>
    </w:p>
    <w:p w14:paraId="07A8AD31">
      <w:pPr>
        <w:rPr>
          <w:rFonts w:hint="eastAsia"/>
          <w:lang w:val="en-US" w:eastAsia="zh-CN"/>
        </w:rPr>
      </w:pPr>
    </w:p>
    <w:p w14:paraId="5FA2EA49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1447165"/>
            <wp:effectExtent l="0" t="0" r="0" b="63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ED1F">
      <w:p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比如像把新节点连接到结束节点上，鼠标点击上图所示箭头不放开，然后将鼠标移动到结束节点上即可。</w:t>
      </w:r>
    </w:p>
    <w:p w14:paraId="1B11EBE4">
      <w:pPr>
        <w:ind w:firstLine="420" w:firstLineChars="0"/>
        <w:rPr>
          <w:rFonts w:hint="default"/>
          <w:lang w:val="en-US" w:eastAsia="zh-CN"/>
        </w:rPr>
      </w:pPr>
    </w:p>
    <w:p w14:paraId="114254E5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注意：每两个元素间要用箭头真实连接，即点击箭头时前后两个节点上要出现绿点，不能虚连。</w:t>
      </w:r>
    </w:p>
    <w:p w14:paraId="60EB6347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1205230"/>
            <wp:effectExtent l="0" t="0" r="11430" b="127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447F8">
      <w:pPr>
        <w:rPr>
          <w:rFonts w:hint="eastAsia"/>
          <w:lang w:val="en-US" w:eastAsia="zh-CN"/>
        </w:rPr>
      </w:pPr>
    </w:p>
    <w:p w14:paraId="31F902EE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1.6. 新增网关（分支）</w:t>
      </w:r>
    </w:p>
    <w:p w14:paraId="2CF6B090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1925955"/>
            <wp:effectExtent l="0" t="0" r="635" b="444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E4E4">
      <w:pPr>
        <w:rPr>
          <w:rFonts w:hint="eastAsia"/>
          <w:lang w:val="en-US" w:eastAsia="zh-CN"/>
        </w:rPr>
      </w:pPr>
    </w:p>
    <w:p w14:paraId="007C1A27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先点击分支网关按钮画一个分支网关，然后在分支网关后面添加审批节点，最后点击分支网关后面的连线，设置跳转条件。</w:t>
      </w:r>
    </w:p>
    <w:p w14:paraId="30FEFB84">
      <w:pPr>
        <w:numPr>
          <w:ilvl w:val="0"/>
          <w:numId w:val="0"/>
        </w:numPr>
        <w:ind w:leftChars="0" w:firstLine="420" w:firstLine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分支跳转条件固定格式为：${表达式}  如：${projectType==1}</w:t>
      </w:r>
    </w:p>
    <w:p w14:paraId="411A6C70">
      <w:pPr>
        <w:numPr>
          <w:ilvl w:val="0"/>
          <w:numId w:val="0"/>
        </w:numPr>
        <w:ind w:leftChars="0" w:firstLine="42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表达式里要用流程变量来组成，参见下面的【表达式】和【流程变量】说明。</w:t>
      </w:r>
    </w:p>
    <w:p w14:paraId="677C3D91">
      <w:pPr>
        <w:numPr>
          <w:ilvl w:val="0"/>
          <w:numId w:val="0"/>
        </w:numPr>
        <w:ind w:leftChars="0" w:firstLine="420" w:firstLineChars="0"/>
      </w:pPr>
      <w:r>
        <w:drawing>
          <wp:inline distT="0" distB="0" distL="114300" distR="114300">
            <wp:extent cx="5269230" cy="2929890"/>
            <wp:effectExtent l="0" t="0" r="1270" b="381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6857">
      <w:pPr>
        <w:numPr>
          <w:ilvl w:val="0"/>
          <w:numId w:val="0"/>
        </w:numPr>
        <w:ind w:leftChars="0" w:firstLine="420" w:firstLineChars="0"/>
      </w:pPr>
    </w:p>
    <w:p w14:paraId="1DCDCB95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</w:p>
    <w:p w14:paraId="2AD368BA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187950" cy="2838450"/>
            <wp:effectExtent l="0" t="0" r="6350" b="635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BE344">
      <w:pPr>
        <w:rPr>
          <w:rFonts w:hint="default"/>
          <w:lang w:val="en-US" w:eastAsia="zh-CN"/>
        </w:rPr>
      </w:pPr>
    </w:p>
    <w:p w14:paraId="2442DE90"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1.6.1. 表达式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A94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4A6B23D">
            <w:pPr>
              <w:numPr>
                <w:ilvl w:val="0"/>
                <w:numId w:val="0"/>
              </w:numPr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表达式</w:t>
            </w:r>
          </w:p>
        </w:tc>
        <w:tc>
          <w:tcPr>
            <w:tcW w:w="4261" w:type="dxa"/>
          </w:tcPr>
          <w:p w14:paraId="65C47509">
            <w:pPr>
              <w:numPr>
                <w:ilvl w:val="0"/>
                <w:numId w:val="0"/>
              </w:numPr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>示例</w:t>
            </w:r>
          </w:p>
        </w:tc>
      </w:tr>
      <w:tr w14:paraId="7FB3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68DB37A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等于表达式</w:t>
            </w:r>
          </w:p>
        </w:tc>
        <w:tc>
          <w:tcPr>
            <w:tcW w:w="4261" w:type="dxa"/>
            <w:vAlign w:val="top"/>
          </w:tcPr>
          <w:p w14:paraId="3127411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projectType==1  </w:t>
            </w:r>
            <w:r>
              <w:rPr>
                <w:rFonts w:hint="eastAsia"/>
                <w:color w:val="FF0000"/>
                <w:lang w:val="en-US" w:eastAsia="zh-CN"/>
              </w:rPr>
              <w:t>注意是两个等号</w:t>
            </w:r>
          </w:p>
        </w:tc>
      </w:tr>
      <w:tr w14:paraId="2ECB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FDF38D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不等于表达式</w:t>
            </w:r>
          </w:p>
        </w:tc>
        <w:tc>
          <w:tcPr>
            <w:tcW w:w="4261" w:type="dxa"/>
            <w:vAlign w:val="top"/>
          </w:tcPr>
          <w:p w14:paraId="57475BC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projectType!=1</w:t>
            </w:r>
          </w:p>
        </w:tc>
      </w:tr>
      <w:tr w14:paraId="3A160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49F7ABF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大于表达式</w:t>
            </w:r>
          </w:p>
        </w:tc>
        <w:tc>
          <w:tcPr>
            <w:tcW w:w="4261" w:type="dxa"/>
            <w:vAlign w:val="top"/>
          </w:tcPr>
          <w:p w14:paraId="6BFEF34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contractAmount&gt;100000</w:t>
            </w:r>
          </w:p>
        </w:tc>
      </w:tr>
      <w:tr w14:paraId="5916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7F979E1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大于等于表达式</w:t>
            </w:r>
          </w:p>
        </w:tc>
        <w:tc>
          <w:tcPr>
            <w:tcW w:w="4261" w:type="dxa"/>
            <w:vAlign w:val="top"/>
          </w:tcPr>
          <w:p w14:paraId="751AF96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contractAmount&gt;=100000</w:t>
            </w:r>
          </w:p>
        </w:tc>
      </w:tr>
      <w:tr w14:paraId="7182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2BCE1F8F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小于表达式</w:t>
            </w:r>
          </w:p>
        </w:tc>
        <w:tc>
          <w:tcPr>
            <w:tcW w:w="4261" w:type="dxa"/>
            <w:vAlign w:val="top"/>
          </w:tcPr>
          <w:p w14:paraId="13F153E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contractAmount&lt;100000</w:t>
            </w:r>
          </w:p>
        </w:tc>
      </w:tr>
      <w:tr w14:paraId="63BD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3D6E728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小于等于表达式</w:t>
            </w:r>
          </w:p>
        </w:tc>
        <w:tc>
          <w:tcPr>
            <w:tcW w:w="4261" w:type="dxa"/>
            <w:vAlign w:val="top"/>
          </w:tcPr>
          <w:p w14:paraId="6878C32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contractAmount&lt;=100000</w:t>
            </w:r>
          </w:p>
        </w:tc>
      </w:tr>
      <w:tr w14:paraId="3379F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FF5101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是否表达式</w:t>
            </w:r>
          </w:p>
        </w:tc>
        <w:tc>
          <w:tcPr>
            <w:tcW w:w="4261" w:type="dxa"/>
            <w:vAlign w:val="top"/>
          </w:tcPr>
          <w:p w14:paraId="4C7608E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isPrepaid==true  或者 isPrepaid==false</w:t>
            </w:r>
          </w:p>
        </w:tc>
      </w:tr>
    </w:tbl>
    <w:p w14:paraId="4C9DCB91">
      <w:pPr>
        <w:numPr>
          <w:ilvl w:val="0"/>
          <w:numId w:val="0"/>
        </w:numPr>
        <w:rPr>
          <w:rFonts w:hint="default"/>
          <w:color w:val="FF0000"/>
          <w:lang w:val="en-US" w:eastAsia="zh-CN"/>
        </w:rPr>
      </w:pPr>
    </w:p>
    <w:p w14:paraId="675F0D6C">
      <w:pPr>
        <w:numPr>
          <w:ilvl w:val="0"/>
          <w:numId w:val="0"/>
        </w:numPr>
        <w:ind w:leftChars="0" w:firstLine="420" w:firstLine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注意：跳转条件一定要穷举完，必须要有一个出口，否则会启动失败。</w:t>
      </w:r>
    </w:p>
    <w:p w14:paraId="47E774C0">
      <w:pPr>
        <w:numPr>
          <w:ilvl w:val="0"/>
          <w:numId w:val="0"/>
        </w:numPr>
        <w:ind w:leftChars="0" w:firstLine="420" w:firstLine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比如只有两个分支，一个分支条件为contractAmount&gt;100000，另外一个分支不能为contractAmount&lt;100000,因为amount等于100000时，分支没有出口，所以另外一个分支必须设置为contractAmount&lt;=100000。</w:t>
      </w:r>
    </w:p>
    <w:p w14:paraId="7E6EF076">
      <w:pPr>
        <w:numPr>
          <w:ilvl w:val="0"/>
          <w:numId w:val="0"/>
        </w:numPr>
        <w:ind w:leftChars="0" w:firstLine="420" w:firstLine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又比如只有两个分支，一个分支条件为projectType==1，另外一个分支条件必须为projectType!=1。</w:t>
      </w:r>
    </w:p>
    <w:p w14:paraId="2FFE45DB">
      <w:pPr>
        <w:numPr>
          <w:ilvl w:val="0"/>
          <w:numId w:val="0"/>
        </w:numPr>
        <w:ind w:leftChars="0" w:firstLine="420" w:firstLineChars="0"/>
        <w:rPr>
          <w:rFonts w:hint="eastAsia"/>
          <w:color w:val="FF0000"/>
          <w:lang w:val="en-US" w:eastAsia="zh-CN"/>
        </w:rPr>
      </w:pPr>
    </w:p>
    <w:p w14:paraId="4228C5F8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1.6.2. 流程变量</w:t>
      </w:r>
    </w:p>
    <w:p w14:paraId="58892FC3">
      <w:pPr>
        <w:rPr>
          <w:rFonts w:hint="eastAsia"/>
          <w:lang w:val="en-US" w:eastAsia="zh-CN"/>
        </w:rPr>
      </w:pPr>
    </w:p>
    <w:p w14:paraId="25AD7661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概算、预算、结算、决算审批流程支持的流程变量如下：</w:t>
      </w:r>
    </w:p>
    <w:p w14:paraId="3436EDE2">
      <w:pPr>
        <w:ind w:firstLine="420" w:firstLineChars="0"/>
        <w:rPr>
          <w:rFonts w:hint="eastAsia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 w14:paraId="0640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6827B89F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变量含义</w:t>
            </w:r>
          </w:p>
        </w:tc>
        <w:tc>
          <w:tcPr>
            <w:tcW w:w="2130" w:type="dxa"/>
          </w:tcPr>
          <w:p w14:paraId="34936A7C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变量名称</w:t>
            </w:r>
          </w:p>
        </w:tc>
        <w:tc>
          <w:tcPr>
            <w:tcW w:w="2130" w:type="dxa"/>
          </w:tcPr>
          <w:p w14:paraId="7CB418E5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变量取值</w:t>
            </w:r>
          </w:p>
        </w:tc>
        <w:tc>
          <w:tcPr>
            <w:tcW w:w="2130" w:type="dxa"/>
          </w:tcPr>
          <w:p w14:paraId="244467C6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表达式示例</w:t>
            </w:r>
          </w:p>
        </w:tc>
      </w:tr>
      <w:tr w14:paraId="1B93B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67422F2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项目类型</w:t>
            </w:r>
          </w:p>
        </w:tc>
        <w:tc>
          <w:tcPr>
            <w:tcW w:w="2130" w:type="dxa"/>
          </w:tcPr>
          <w:p w14:paraId="1AE6500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projectType</w:t>
            </w:r>
          </w:p>
        </w:tc>
        <w:tc>
          <w:tcPr>
            <w:tcW w:w="2130" w:type="dxa"/>
          </w:tcPr>
          <w:p w14:paraId="55C907A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数字类型</w:t>
            </w:r>
          </w:p>
          <w:p w14:paraId="70BAAED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1工程集成类</w:t>
            </w:r>
          </w:p>
          <w:p w14:paraId="32AD47F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2设备集成类</w:t>
            </w:r>
          </w:p>
          <w:p w14:paraId="5D8E2FD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3战略合作类</w:t>
            </w:r>
          </w:p>
        </w:tc>
        <w:tc>
          <w:tcPr>
            <w:tcW w:w="2130" w:type="dxa"/>
          </w:tcPr>
          <w:p w14:paraId="2EBDDBD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${projectType==1}</w:t>
            </w:r>
          </w:p>
        </w:tc>
      </w:tr>
    </w:tbl>
    <w:p w14:paraId="267299A5">
      <w:pPr>
        <w:rPr>
          <w:rFonts w:hint="eastAsia"/>
          <w:lang w:val="en-US" w:eastAsia="zh-CN"/>
        </w:rPr>
      </w:pPr>
    </w:p>
    <w:p w14:paraId="7C174D0B">
      <w:pPr>
        <w:rPr>
          <w:rFonts w:hint="default"/>
          <w:lang w:val="en-US" w:eastAsia="zh-CN"/>
        </w:rPr>
      </w:pPr>
    </w:p>
    <w:p w14:paraId="6C59981B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销售合同项目和业务采购项目审批流程支持的流程变量如下：</w:t>
      </w:r>
    </w:p>
    <w:p w14:paraId="3FC72020">
      <w:pPr>
        <w:ind w:firstLine="420" w:firstLineChars="0"/>
        <w:rPr>
          <w:rFonts w:hint="eastAsia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2066"/>
        <w:gridCol w:w="1961"/>
        <w:gridCol w:w="2592"/>
      </w:tblGrid>
      <w:tr w14:paraId="0DC2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4BE19BAE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变量含义</w:t>
            </w:r>
          </w:p>
        </w:tc>
        <w:tc>
          <w:tcPr>
            <w:tcW w:w="2130" w:type="dxa"/>
          </w:tcPr>
          <w:p w14:paraId="3146560A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变量名称</w:t>
            </w:r>
          </w:p>
        </w:tc>
        <w:tc>
          <w:tcPr>
            <w:tcW w:w="2130" w:type="dxa"/>
          </w:tcPr>
          <w:p w14:paraId="1923E60A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变量取值</w:t>
            </w:r>
          </w:p>
        </w:tc>
        <w:tc>
          <w:tcPr>
            <w:tcW w:w="2130" w:type="dxa"/>
          </w:tcPr>
          <w:p w14:paraId="13B5E933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表达式示例</w:t>
            </w:r>
          </w:p>
        </w:tc>
      </w:tr>
      <w:tr w14:paraId="40E1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1EFB51A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项目类型</w:t>
            </w:r>
          </w:p>
        </w:tc>
        <w:tc>
          <w:tcPr>
            <w:tcW w:w="2130" w:type="dxa"/>
          </w:tcPr>
          <w:p w14:paraId="7592B0A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projectType</w:t>
            </w:r>
          </w:p>
        </w:tc>
        <w:tc>
          <w:tcPr>
            <w:tcW w:w="2130" w:type="dxa"/>
          </w:tcPr>
          <w:p w14:paraId="00784B9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数字类型</w:t>
            </w:r>
          </w:p>
          <w:p w14:paraId="1DCCD3C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1工程集成类</w:t>
            </w:r>
          </w:p>
          <w:p w14:paraId="05074BD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2设备集成类</w:t>
            </w:r>
          </w:p>
          <w:p w14:paraId="031B09F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3战略合作类</w:t>
            </w:r>
          </w:p>
        </w:tc>
        <w:tc>
          <w:tcPr>
            <w:tcW w:w="2130" w:type="dxa"/>
          </w:tcPr>
          <w:p w14:paraId="022E02A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${projectType==1}</w:t>
            </w:r>
          </w:p>
        </w:tc>
      </w:tr>
      <w:tr w14:paraId="5A37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042AA04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合同金额</w:t>
            </w:r>
          </w:p>
        </w:tc>
        <w:tc>
          <w:tcPr>
            <w:tcW w:w="2130" w:type="dxa"/>
          </w:tcPr>
          <w:p w14:paraId="467EB2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contractAmount</w:t>
            </w:r>
          </w:p>
        </w:tc>
        <w:tc>
          <w:tcPr>
            <w:tcW w:w="2130" w:type="dxa"/>
          </w:tcPr>
          <w:p w14:paraId="1D0B3576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数字类型</w:t>
            </w:r>
          </w:p>
          <w:p w14:paraId="70236C0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如100000</w:t>
            </w:r>
          </w:p>
        </w:tc>
        <w:tc>
          <w:tcPr>
            <w:tcW w:w="2130" w:type="dxa"/>
          </w:tcPr>
          <w:p w14:paraId="367C817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${</w:t>
            </w:r>
            <w:r>
              <w:rPr>
                <w:rFonts w:hint="eastAsia"/>
                <w:vertAlign w:val="baseline"/>
                <w:lang w:val="en-US" w:eastAsia="zh-CN"/>
              </w:rPr>
              <w:t>contractAmount&gt;</w:t>
            </w:r>
            <w:r>
              <w:rPr>
                <w:rFonts w:hint="eastAsia"/>
                <w:color w:val="auto"/>
                <w:lang w:val="en-US" w:eastAsia="zh-CN"/>
              </w:rPr>
              <w:t>100000}</w:t>
            </w:r>
          </w:p>
        </w:tc>
      </w:tr>
      <w:tr w14:paraId="13B00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72098C9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合作类型</w:t>
            </w:r>
          </w:p>
        </w:tc>
        <w:tc>
          <w:tcPr>
            <w:tcW w:w="2130" w:type="dxa"/>
          </w:tcPr>
          <w:p w14:paraId="3311AC7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cooperationType</w:t>
            </w:r>
          </w:p>
        </w:tc>
        <w:tc>
          <w:tcPr>
            <w:tcW w:w="2130" w:type="dxa"/>
          </w:tcPr>
          <w:p w14:paraId="417905C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数字类型</w:t>
            </w:r>
          </w:p>
          <w:p w14:paraId="17CD97F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1战略合作 </w:t>
            </w:r>
          </w:p>
          <w:p w14:paraId="0D9D541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2非战略合作</w:t>
            </w:r>
          </w:p>
        </w:tc>
        <w:tc>
          <w:tcPr>
            <w:tcW w:w="2130" w:type="dxa"/>
          </w:tcPr>
          <w:p w14:paraId="265445A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${</w:t>
            </w:r>
            <w:r>
              <w:rPr>
                <w:rFonts w:hint="eastAsia"/>
                <w:lang w:val="en-US" w:eastAsia="zh-CN"/>
              </w:rPr>
              <w:t>cooperationType</w:t>
            </w:r>
            <w:r>
              <w:rPr>
                <w:rFonts w:hint="eastAsia"/>
                <w:color w:val="auto"/>
                <w:lang w:val="en-US" w:eastAsia="zh-CN"/>
              </w:rPr>
              <w:t>==1}</w:t>
            </w:r>
          </w:p>
        </w:tc>
      </w:tr>
      <w:tr w14:paraId="652BE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5EA282F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是否垫资</w:t>
            </w:r>
          </w:p>
        </w:tc>
        <w:tc>
          <w:tcPr>
            <w:tcW w:w="2130" w:type="dxa"/>
          </w:tcPr>
          <w:p w14:paraId="759F3C6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isPrepaid</w:t>
            </w:r>
          </w:p>
        </w:tc>
        <w:tc>
          <w:tcPr>
            <w:tcW w:w="2130" w:type="dxa"/>
          </w:tcPr>
          <w:p w14:paraId="295CE58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true 是</w:t>
            </w:r>
          </w:p>
          <w:p w14:paraId="3EDBBC4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false否</w:t>
            </w:r>
          </w:p>
        </w:tc>
        <w:tc>
          <w:tcPr>
            <w:tcW w:w="2130" w:type="dxa"/>
          </w:tcPr>
          <w:p w14:paraId="3D21BD3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${</w:t>
            </w:r>
            <w:r>
              <w:rPr>
                <w:rFonts w:hint="eastAsia"/>
                <w:color w:val="auto"/>
                <w:lang w:val="en-US" w:eastAsia="zh-CN"/>
              </w:rPr>
              <w:t>isPrepaid==true</w:t>
            </w:r>
            <w:r>
              <w:rPr>
                <w:rFonts w:hint="eastAsia"/>
                <w:vertAlign w:val="baseline"/>
                <w:lang w:val="en-US" w:eastAsia="zh-CN"/>
              </w:rPr>
              <w:t>}</w:t>
            </w:r>
          </w:p>
        </w:tc>
      </w:tr>
      <w:tr w14:paraId="6D3E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 w14:paraId="71EAD48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垫资金额</w:t>
            </w:r>
          </w:p>
        </w:tc>
        <w:tc>
          <w:tcPr>
            <w:tcW w:w="2130" w:type="dxa"/>
          </w:tcPr>
          <w:p w14:paraId="5F1ED45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repaidAmount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30" w:type="dxa"/>
          </w:tcPr>
          <w:p w14:paraId="4EE0C5B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数字类型</w:t>
            </w:r>
          </w:p>
          <w:p w14:paraId="79C3736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如100000</w:t>
            </w:r>
          </w:p>
        </w:tc>
        <w:tc>
          <w:tcPr>
            <w:tcW w:w="2130" w:type="dxa"/>
          </w:tcPr>
          <w:p w14:paraId="514070D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${</w:t>
            </w:r>
            <w:r>
              <w:rPr>
                <w:rFonts w:hint="default"/>
                <w:lang w:val="en-US" w:eastAsia="zh-CN"/>
              </w:rPr>
              <w:t>repaidAmount</w:t>
            </w:r>
            <w:r>
              <w:rPr>
                <w:rFonts w:hint="eastAsia"/>
                <w:vertAlign w:val="baseline"/>
                <w:lang w:val="en-US" w:eastAsia="zh-CN"/>
              </w:rPr>
              <w:t>&gt;</w:t>
            </w:r>
            <w:r>
              <w:rPr>
                <w:rFonts w:hint="eastAsia"/>
                <w:color w:val="auto"/>
                <w:lang w:val="en-US" w:eastAsia="zh-CN"/>
              </w:rPr>
              <w:t>100000}</w:t>
            </w:r>
          </w:p>
        </w:tc>
      </w:tr>
    </w:tbl>
    <w:p w14:paraId="3C9EBB21">
      <w:pPr>
        <w:numPr>
          <w:ilvl w:val="0"/>
          <w:numId w:val="0"/>
        </w:numPr>
        <w:rPr>
          <w:rFonts w:hint="default"/>
          <w:color w:val="FF0000"/>
          <w:lang w:val="en-US" w:eastAsia="zh-CN"/>
        </w:rPr>
      </w:pPr>
    </w:p>
    <w:p w14:paraId="0A200D4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</w:p>
    <w:p w14:paraId="35AB466A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1.7. 保存流程</w:t>
      </w:r>
    </w:p>
    <w:p w14:paraId="390F7704">
      <w:pPr>
        <w:numPr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流程图画好后，点左上角【保存】按钮，保存流程。</w:t>
      </w:r>
    </w:p>
    <w:p w14:paraId="35680E0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3675" cy="1804670"/>
            <wp:effectExtent l="0" t="0" r="9525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E70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ED5B0F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A9AACF7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 部署流程</w:t>
      </w:r>
    </w:p>
    <w:p w14:paraId="425C4A52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回到【基础功能-工作流程-模型管理】列表页面找到刚才修改的流程，点击【部署】按钮。部署过后新发起的流程都会按修改的流程图进行流转，请尽快按照下面步骤设置审批人。</w:t>
      </w:r>
    </w:p>
    <w:p w14:paraId="33D69BE6">
      <w:r>
        <w:drawing>
          <wp:inline distT="0" distB="0" distL="114300" distR="114300">
            <wp:extent cx="5273040" cy="956945"/>
            <wp:effectExtent l="0" t="0" r="1016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11ED"/>
    <w:p w14:paraId="70E3A7A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 设置审批人</w:t>
      </w:r>
    </w:p>
    <w:p w14:paraId="15837D3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3.1.点击【基础功能-工作流程-流程定义】根据流程名称和部署时间找到上面部署的流程，然后点击【审批人设置】按钮。</w:t>
      </w:r>
    </w:p>
    <w:p w14:paraId="17A65B4C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433830"/>
            <wp:effectExtent l="0" t="0" r="508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33A78">
      <w:pPr>
        <w:rPr>
          <w:rFonts w:hint="default"/>
          <w:lang w:val="en-US" w:eastAsia="zh-CN"/>
        </w:rPr>
      </w:pPr>
    </w:p>
    <w:p w14:paraId="605A7ED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3.2. 此设置页面解析出了流程图的每个审批节点，这里可以为每个节点按人员、角色、类型设置审批人。每个节点都要设置审批人。</w:t>
      </w:r>
    </w:p>
    <w:p w14:paraId="32530B78">
      <w:r>
        <w:drawing>
          <wp:inline distT="0" distB="0" distL="114300" distR="114300">
            <wp:extent cx="5263515" cy="1031875"/>
            <wp:effectExtent l="0" t="0" r="698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6CB0CA5"/>
    <w:p w14:paraId="7FA9ADA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3.3. 最后点击每个节点后面的【保存】按钮进行保存。</w:t>
      </w:r>
    </w:p>
    <w:p w14:paraId="747AD3B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961390"/>
            <wp:effectExtent l="0" t="0" r="1905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18DAC6"/>
    <w:multiLevelType w:val="singleLevel"/>
    <w:tmpl w:val="4918DAC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ZTIzMDJkMWE3NDkyMDliYzJiYjQwZjczYzhhZjYifQ=="/>
  </w:docVars>
  <w:rsids>
    <w:rsidRoot w:val="00000000"/>
    <w:rsid w:val="017720CA"/>
    <w:rsid w:val="041B6CAE"/>
    <w:rsid w:val="04500854"/>
    <w:rsid w:val="04561CA4"/>
    <w:rsid w:val="04AB4D5E"/>
    <w:rsid w:val="07656A3B"/>
    <w:rsid w:val="092A662A"/>
    <w:rsid w:val="0936471A"/>
    <w:rsid w:val="098E4FA0"/>
    <w:rsid w:val="09DE31BF"/>
    <w:rsid w:val="0B0D6E40"/>
    <w:rsid w:val="0C3A54D2"/>
    <w:rsid w:val="10B53335"/>
    <w:rsid w:val="13187776"/>
    <w:rsid w:val="134578A4"/>
    <w:rsid w:val="13E517F7"/>
    <w:rsid w:val="14950344"/>
    <w:rsid w:val="15EF71C7"/>
    <w:rsid w:val="160B0931"/>
    <w:rsid w:val="17233A58"/>
    <w:rsid w:val="1A736AA5"/>
    <w:rsid w:val="1B2E0C1E"/>
    <w:rsid w:val="1B8D003A"/>
    <w:rsid w:val="1CA14F16"/>
    <w:rsid w:val="1E4F0E29"/>
    <w:rsid w:val="1E992C82"/>
    <w:rsid w:val="215F0101"/>
    <w:rsid w:val="231636C4"/>
    <w:rsid w:val="232E3EB1"/>
    <w:rsid w:val="242A2302"/>
    <w:rsid w:val="25AB17E9"/>
    <w:rsid w:val="2641489E"/>
    <w:rsid w:val="27C9309C"/>
    <w:rsid w:val="2ACD2201"/>
    <w:rsid w:val="2AE62118"/>
    <w:rsid w:val="2C532F64"/>
    <w:rsid w:val="307717F2"/>
    <w:rsid w:val="30FF2EAD"/>
    <w:rsid w:val="31305298"/>
    <w:rsid w:val="35E90A84"/>
    <w:rsid w:val="366E1051"/>
    <w:rsid w:val="380E67EB"/>
    <w:rsid w:val="3A9C1064"/>
    <w:rsid w:val="3D506FBC"/>
    <w:rsid w:val="3F073ADC"/>
    <w:rsid w:val="40F45B8E"/>
    <w:rsid w:val="41D02A92"/>
    <w:rsid w:val="437B38C3"/>
    <w:rsid w:val="451505D5"/>
    <w:rsid w:val="45940F26"/>
    <w:rsid w:val="461B7E6D"/>
    <w:rsid w:val="468A5590"/>
    <w:rsid w:val="4A3027AB"/>
    <w:rsid w:val="4D220468"/>
    <w:rsid w:val="4D9549A9"/>
    <w:rsid w:val="4E18687C"/>
    <w:rsid w:val="52C15DD6"/>
    <w:rsid w:val="530A729F"/>
    <w:rsid w:val="54776E90"/>
    <w:rsid w:val="5684298D"/>
    <w:rsid w:val="56966FD1"/>
    <w:rsid w:val="56E147BB"/>
    <w:rsid w:val="580F1C97"/>
    <w:rsid w:val="5A354749"/>
    <w:rsid w:val="5A9970A6"/>
    <w:rsid w:val="5B6D2AC1"/>
    <w:rsid w:val="5C4C32C4"/>
    <w:rsid w:val="5C4E1DF2"/>
    <w:rsid w:val="5D8A34BF"/>
    <w:rsid w:val="5DA54CC3"/>
    <w:rsid w:val="5DB2695F"/>
    <w:rsid w:val="5E367223"/>
    <w:rsid w:val="5FF05A6E"/>
    <w:rsid w:val="605424A1"/>
    <w:rsid w:val="62502FB6"/>
    <w:rsid w:val="632563C3"/>
    <w:rsid w:val="63E92F01"/>
    <w:rsid w:val="63FC3659"/>
    <w:rsid w:val="669B4986"/>
    <w:rsid w:val="67AB2A84"/>
    <w:rsid w:val="67BF0BEF"/>
    <w:rsid w:val="67CD63BE"/>
    <w:rsid w:val="697429C9"/>
    <w:rsid w:val="6C8B0FF9"/>
    <w:rsid w:val="6F963C7B"/>
    <w:rsid w:val="70DF36C1"/>
    <w:rsid w:val="711D4AD7"/>
    <w:rsid w:val="713E625B"/>
    <w:rsid w:val="71C137C8"/>
    <w:rsid w:val="71D855D4"/>
    <w:rsid w:val="721E268E"/>
    <w:rsid w:val="73650C1C"/>
    <w:rsid w:val="73885C03"/>
    <w:rsid w:val="77057BFA"/>
    <w:rsid w:val="776D396A"/>
    <w:rsid w:val="792B7DEB"/>
    <w:rsid w:val="7AAA4D40"/>
    <w:rsid w:val="7B5B5912"/>
    <w:rsid w:val="7BC63D37"/>
    <w:rsid w:val="7C3F11F4"/>
    <w:rsid w:val="7D6A4B1C"/>
    <w:rsid w:val="7D7051EA"/>
    <w:rsid w:val="7E9222D2"/>
    <w:rsid w:val="7FA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1356</Words>
  <Characters>1802</Characters>
  <Lines>0</Lines>
  <Paragraphs>0</Paragraphs>
  <TotalTime>2</TotalTime>
  <ScaleCrop>false</ScaleCrop>
  <LinksUpToDate>false</LinksUpToDate>
  <CharactersWithSpaces>1821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2022-12-26T08:49:00Z</dcterms:created>
  <dc:creator>zhangyun</dc:creator>
  <cp:lastModifiedBy>阿Q</cp:lastModifiedBy>
  <dcterms:modified xsi:type="dcterms:W3CDTF">2024-06-14T07:20:44Z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66151B246A534B1B94B8F6DDE5CCCC38</vt:lpwstr>
  </property>
</Properties>
</file>